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B1" w:rsidRPr="00A718B1" w:rsidRDefault="00A718B1" w:rsidP="00A718B1">
      <w:pPr>
        <w:rPr>
          <w:rFonts w:ascii="新細明體" w:hAnsi="新細明體" w:cs="新細明體" w:hint="eastAsia"/>
          <w:color w:val="222222"/>
          <w:kern w:val="0"/>
          <w:szCs w:val="24"/>
        </w:rPr>
      </w:pPr>
      <w:r w:rsidRPr="00A718B1">
        <w:rPr>
          <w:rFonts w:ascii="新細明體" w:hAnsi="新細明體" w:cs="新細明體"/>
          <w:color w:val="222222"/>
          <w:kern w:val="0"/>
          <w:szCs w:val="24"/>
        </w:rPr>
        <w:t>B10033182黃承善</w:t>
      </w:r>
    </w:p>
    <w:p w:rsidR="00986C44" w:rsidRDefault="00A718B1" w:rsidP="00905BFC">
      <w:pPr>
        <w:ind w:firstLineChars="200" w:firstLine="480"/>
        <w:rPr>
          <w:rFonts w:ascii="新細明體" w:hAnsi="新細明體" w:cs="新細明體"/>
          <w:color w:val="222222"/>
          <w:kern w:val="0"/>
          <w:szCs w:val="24"/>
        </w:rPr>
      </w:pPr>
      <w:r>
        <w:rPr>
          <w:rFonts w:ascii="新細明體" w:hAnsi="新細明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66675</wp:posOffset>
            </wp:positionV>
            <wp:extent cx="3695700" cy="2076450"/>
            <wp:effectExtent l="19050" t="0" r="0" b="0"/>
            <wp:wrapTight wrapText="bothSides">
              <wp:wrapPolygon edited="0">
                <wp:start x="-111" y="0"/>
                <wp:lineTo x="-111" y="21402"/>
                <wp:lineTo x="21600" y="21402"/>
                <wp:lineTo x="21600" y="0"/>
                <wp:lineTo x="-111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期中訪談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BFC" w:rsidRPr="000A6585">
        <w:rPr>
          <w:rFonts w:ascii="新細明體" w:hAnsi="新細明體" w:cs="新細明體" w:hint="eastAsia"/>
          <w:color w:val="222222"/>
          <w:kern w:val="0"/>
          <w:szCs w:val="24"/>
        </w:rPr>
        <w:t>外公跟外婆是出生於日據時代的農村家庭，</w:t>
      </w:r>
      <w:r w:rsidR="00905BFC">
        <w:rPr>
          <w:rFonts w:ascii="新細明體" w:hAnsi="新細明體" w:cs="新細明體" w:hint="eastAsia"/>
          <w:color w:val="222222"/>
          <w:kern w:val="0"/>
          <w:szCs w:val="24"/>
        </w:rPr>
        <w:t>兩位都是道地中壢人，在外公外婆成長的那個時期，台灣基本上都還是農業時代，在那個時代的趨勢之下，外公從小就在農村裡長大，很早就開始務農；外婆也是生長在農村家庭，從小就在菜市場裡打轉，外婆擅長編草蓆，年輕的時候還得過日本的編草蓆冠軍。個性上外公個性豪爽，很熱情外向，</w:t>
      </w:r>
      <w:r w:rsidR="00A21806">
        <w:rPr>
          <w:rFonts w:hint="eastAsia"/>
        </w:rPr>
        <w:t>也較進取，</w:t>
      </w:r>
      <w:r w:rsidR="00905BFC">
        <w:rPr>
          <w:rFonts w:ascii="新細明體" w:hAnsi="新細明體" w:cs="新細明體" w:hint="eastAsia"/>
          <w:color w:val="222222"/>
          <w:kern w:val="0"/>
          <w:szCs w:val="24"/>
        </w:rPr>
        <w:t>喜歡交朋友，話匣子一開</w:t>
      </w:r>
      <w:proofErr w:type="gramStart"/>
      <w:r w:rsidR="00905BFC">
        <w:rPr>
          <w:rFonts w:ascii="新細明體" w:hAnsi="新細明體" w:cs="新細明體" w:hint="eastAsia"/>
          <w:color w:val="222222"/>
          <w:kern w:val="0"/>
          <w:szCs w:val="24"/>
        </w:rPr>
        <w:t>就說不完</w:t>
      </w:r>
      <w:proofErr w:type="gramEnd"/>
      <w:r w:rsidR="00905BFC">
        <w:rPr>
          <w:rFonts w:ascii="新細明體" w:hAnsi="新細明體" w:cs="新細明體" w:hint="eastAsia"/>
          <w:color w:val="222222"/>
          <w:kern w:val="0"/>
          <w:szCs w:val="24"/>
        </w:rPr>
        <w:t>，對街坊鄰居也相當照顧，當時在村里他的人緣也相當的好，簡單來說外公以前在整個大家庭裡就像是一個大家長。</w:t>
      </w:r>
    </w:p>
    <w:p w:rsidR="005921C5" w:rsidRDefault="00905BFC" w:rsidP="005921C5">
      <w:pPr>
        <w:ind w:firstLineChars="200" w:firstLine="480"/>
      </w:pPr>
      <w:r>
        <w:rPr>
          <w:rFonts w:ascii="新細明體" w:hAnsi="新細明體" w:cs="新細明體" w:hint="eastAsia"/>
          <w:color w:val="222222"/>
          <w:kern w:val="0"/>
          <w:szCs w:val="24"/>
        </w:rPr>
        <w:t>外公崇尚支持黨外運動，民國34年，第二次世界大戰結束，日本向美國、英國、</w:t>
      </w:r>
      <w:r w:rsidR="00E93C2B">
        <w:rPr>
          <w:rFonts w:ascii="新細明體" w:hAnsi="新細明體" w:cs="新細明體" w:hint="eastAsia"/>
          <w:color w:val="222222"/>
          <w:kern w:val="0"/>
          <w:szCs w:val="24"/>
        </w:rPr>
        <w:t>蘇聯、中華民國等同盟國無條件投降，台灣也正式結束了日據時期的統治，</w:t>
      </w:r>
      <w:r w:rsidR="00492445">
        <w:rPr>
          <w:rFonts w:ascii="新細明體" w:hAnsi="新細明體" w:cs="新細明體" w:hint="eastAsia"/>
          <w:color w:val="222222"/>
          <w:kern w:val="0"/>
          <w:szCs w:val="24"/>
        </w:rPr>
        <w:t>蔣中正所率領的國民政府軍也進入了台北市，在台北中山堂舉行受降典禮，</w:t>
      </w:r>
      <w:r w:rsidR="00E93C2B">
        <w:rPr>
          <w:rFonts w:ascii="新細明體" w:hAnsi="新細明體" w:cs="新細明體" w:hint="eastAsia"/>
          <w:color w:val="222222"/>
          <w:kern w:val="0"/>
          <w:szCs w:val="24"/>
        </w:rPr>
        <w:t>之後中國爆發國共內戰，</w:t>
      </w:r>
      <w:r w:rsidR="00492445">
        <w:rPr>
          <w:rFonts w:ascii="新細明體" w:hAnsi="新細明體" w:cs="新細明體" w:hint="eastAsia"/>
          <w:color w:val="222222"/>
          <w:kern w:val="0"/>
          <w:szCs w:val="24"/>
        </w:rPr>
        <w:t>蔣中正在中國的國民政府軍</w:t>
      </w:r>
      <w:r w:rsidR="00E93C2B">
        <w:rPr>
          <w:rFonts w:ascii="新細明體" w:hAnsi="新細明體" w:cs="新細明體" w:hint="eastAsia"/>
          <w:color w:val="222222"/>
          <w:kern w:val="0"/>
          <w:szCs w:val="24"/>
        </w:rPr>
        <w:t>節節敗退，蔣中正迫不得已只好將黃金白銀以及一些國民政府軍</w:t>
      </w:r>
      <w:proofErr w:type="gramStart"/>
      <w:r w:rsidR="00E93C2B">
        <w:rPr>
          <w:rFonts w:ascii="新細明體" w:hAnsi="新細明體" w:cs="新細明體" w:hint="eastAsia"/>
          <w:color w:val="222222"/>
          <w:kern w:val="0"/>
          <w:szCs w:val="24"/>
        </w:rPr>
        <w:t>慢慢撤遷到了</w:t>
      </w:r>
      <w:proofErr w:type="gramEnd"/>
      <w:r w:rsidR="00E93C2B">
        <w:rPr>
          <w:rFonts w:ascii="新細明體" w:hAnsi="新細明體" w:cs="新細明體" w:hint="eastAsia"/>
          <w:color w:val="222222"/>
          <w:kern w:val="0"/>
          <w:szCs w:val="24"/>
        </w:rPr>
        <w:t>台灣，當時</w:t>
      </w:r>
      <w:r w:rsidR="00492445">
        <w:rPr>
          <w:rFonts w:ascii="新細明體" w:hAnsi="新細明體" w:cs="新細明體" w:hint="eastAsia"/>
          <w:color w:val="222222"/>
          <w:kern w:val="0"/>
          <w:szCs w:val="24"/>
        </w:rPr>
        <w:t>外省軍民遷台人數超過了120萬人，</w:t>
      </w:r>
      <w:proofErr w:type="gramStart"/>
      <w:r w:rsidR="00492445">
        <w:rPr>
          <w:rFonts w:ascii="新細明體" w:hAnsi="新細明體" w:cs="新細明體" w:hint="eastAsia"/>
          <w:color w:val="222222"/>
          <w:kern w:val="0"/>
          <w:szCs w:val="24"/>
        </w:rPr>
        <w:t>佔</w:t>
      </w:r>
      <w:proofErr w:type="gramEnd"/>
      <w:r w:rsidR="00492445">
        <w:rPr>
          <w:rFonts w:ascii="新細明體" w:hAnsi="新細明體" w:cs="新細明體" w:hint="eastAsia"/>
          <w:color w:val="222222"/>
          <w:kern w:val="0"/>
          <w:szCs w:val="24"/>
        </w:rPr>
        <w:t>了當時台灣總人口數有十分之一，當時的台灣人民大部份都是抱持著歡迎的心態，因為他們剛剛脫離了日本政府的</w:t>
      </w:r>
      <w:r w:rsidR="005921C5">
        <w:rPr>
          <w:rFonts w:ascii="新細明體" w:hAnsi="新細明體" w:cs="新細明體" w:hint="eastAsia"/>
          <w:color w:val="222222"/>
          <w:kern w:val="0"/>
          <w:szCs w:val="24"/>
        </w:rPr>
        <w:t>高壓</w:t>
      </w:r>
      <w:r w:rsidR="00492445">
        <w:rPr>
          <w:rFonts w:ascii="新細明體" w:hAnsi="新細明體" w:cs="新細明體" w:hint="eastAsia"/>
          <w:color w:val="222222"/>
          <w:kern w:val="0"/>
          <w:szCs w:val="24"/>
        </w:rPr>
        <w:t>殖民統治，</w:t>
      </w:r>
      <w:r w:rsidR="005921C5">
        <w:rPr>
          <w:rFonts w:ascii="新細明體" w:hAnsi="新細明體" w:cs="新細明體" w:hint="eastAsia"/>
          <w:color w:val="222222"/>
          <w:kern w:val="0"/>
          <w:szCs w:val="24"/>
        </w:rPr>
        <w:t>日本政府在</w:t>
      </w:r>
      <w:r w:rsidR="005921C5" w:rsidRPr="00B85C35">
        <w:rPr>
          <w:rFonts w:ascii="Arial" w:hAnsi="Arial" w:cs="Arial"/>
          <w:color w:val="000000"/>
          <w:szCs w:val="24"/>
          <w:shd w:val="clear" w:color="auto" w:fill="FFFFFF"/>
        </w:rPr>
        <w:t>政治上的壓迫與經濟上的搾取造成台灣人民</w:t>
      </w:r>
      <w:proofErr w:type="gramStart"/>
      <w:r w:rsidR="005921C5" w:rsidRPr="00B85C35">
        <w:rPr>
          <w:rFonts w:ascii="Arial" w:hAnsi="Arial" w:cs="Arial"/>
          <w:color w:val="000000"/>
          <w:szCs w:val="24"/>
          <w:shd w:val="clear" w:color="auto" w:fill="FFFFFF"/>
        </w:rPr>
        <w:t>不滿，</w:t>
      </w:r>
      <w:proofErr w:type="gramEnd"/>
      <w:r w:rsidR="005921C5" w:rsidRPr="00B85C35">
        <w:rPr>
          <w:rFonts w:ascii="Arial" w:hAnsi="Arial" w:cs="Arial"/>
          <w:color w:val="000000"/>
          <w:szCs w:val="24"/>
          <w:shd w:val="clear" w:color="auto" w:fill="FFFFFF"/>
        </w:rPr>
        <w:t>此種不滿情緒後來轉化為對中國的熱烈期待。</w:t>
      </w:r>
      <w:r w:rsidR="00492445">
        <w:rPr>
          <w:rFonts w:ascii="新細明體" w:hAnsi="新細明體" w:cs="新細明體" w:hint="eastAsia"/>
          <w:color w:val="222222"/>
          <w:kern w:val="0"/>
          <w:szCs w:val="24"/>
        </w:rPr>
        <w:t>但也有人會認為說這些國民黨的外省人（俗稱老</w:t>
      </w:r>
      <w:r w:rsidR="00492445" w:rsidRPr="00492445">
        <w:rPr>
          <w:rFonts w:ascii="Arial" w:hAnsi="Arial" w:cs="Arial"/>
          <w:szCs w:val="24"/>
          <w:shd w:val="clear" w:color="auto" w:fill="FFFFFF"/>
        </w:rPr>
        <w:t>芋仔</w:t>
      </w:r>
      <w:r w:rsidR="00492445">
        <w:rPr>
          <w:rFonts w:ascii="新細明體" w:hAnsi="新細明體" w:cs="新細明體" w:hint="eastAsia"/>
          <w:color w:val="222222"/>
          <w:kern w:val="0"/>
          <w:szCs w:val="24"/>
        </w:rPr>
        <w:t>），</w:t>
      </w:r>
      <w:r w:rsidR="00492445">
        <w:rPr>
          <w:rFonts w:hint="eastAsia"/>
        </w:rPr>
        <w:t>是個外來政權，他們是過來佔據台灣</w:t>
      </w:r>
      <w:r w:rsidR="005921C5">
        <w:rPr>
          <w:rFonts w:hint="eastAsia"/>
        </w:rPr>
        <w:t>。</w:t>
      </w:r>
    </w:p>
    <w:p w:rsidR="00492445" w:rsidRDefault="00492445" w:rsidP="005921C5">
      <w:pPr>
        <w:ind w:firstLineChars="200" w:firstLine="480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hint="eastAsia"/>
        </w:rPr>
        <w:t>而當時的外公正值青年</w:t>
      </w:r>
      <w:r w:rsidR="005921C5">
        <w:rPr>
          <w:rFonts w:hint="eastAsia"/>
        </w:rPr>
        <w:t>，他也是抱持著反對的那一方，他也認為這些國民黨的外來政權沒有資格來佔據台灣，而且當時的外省人政權並不信任台灣人，他們認為台灣人已經被日本化，對當時的台灣人的誤解相當的深，當時的行政長官陳儀</w:t>
      </w:r>
      <w:r w:rsidR="005921C5" w:rsidRPr="00B85C35">
        <w:rPr>
          <w:rFonts w:ascii="Arial" w:hAnsi="Arial" w:cs="Arial"/>
          <w:color w:val="000000"/>
          <w:szCs w:val="24"/>
          <w:shd w:val="clear" w:color="auto" w:fill="FFFFFF"/>
        </w:rPr>
        <w:t>不僅集</w:t>
      </w:r>
      <w:r w:rsidR="005921C5" w:rsidRPr="005921C5">
        <w:rPr>
          <w:rFonts w:ascii="Arial" w:hAnsi="Arial" w:cs="Arial"/>
          <w:szCs w:val="24"/>
          <w:shd w:val="clear" w:color="auto" w:fill="FFFFFF"/>
        </w:rPr>
        <w:t>行政</w:t>
      </w:r>
      <w:r w:rsidR="005921C5" w:rsidRPr="00B85C35">
        <w:rPr>
          <w:rFonts w:ascii="Arial" w:hAnsi="Arial" w:cs="Arial"/>
          <w:color w:val="000000"/>
          <w:szCs w:val="24"/>
          <w:shd w:val="clear" w:color="auto" w:fill="FFFFFF"/>
        </w:rPr>
        <w:t>、</w:t>
      </w:r>
      <w:r w:rsidR="005921C5" w:rsidRPr="005921C5">
        <w:rPr>
          <w:rFonts w:ascii="Arial" w:hAnsi="Arial" w:cs="Arial"/>
          <w:szCs w:val="24"/>
          <w:shd w:val="clear" w:color="auto" w:fill="FFFFFF"/>
        </w:rPr>
        <w:t>立法</w:t>
      </w:r>
      <w:r w:rsidR="005921C5" w:rsidRPr="00B85C35">
        <w:rPr>
          <w:rFonts w:ascii="Arial" w:hAnsi="Arial" w:cs="Arial"/>
          <w:color w:val="000000"/>
          <w:szCs w:val="24"/>
          <w:shd w:val="clear" w:color="auto" w:fill="FFFFFF"/>
        </w:rPr>
        <w:t>、</w:t>
      </w:r>
      <w:r w:rsidR="005921C5" w:rsidRPr="005921C5">
        <w:rPr>
          <w:rFonts w:ascii="Arial" w:hAnsi="Arial" w:cs="Arial"/>
          <w:szCs w:val="24"/>
          <w:shd w:val="clear" w:color="auto" w:fill="FFFFFF"/>
        </w:rPr>
        <w:t>司法</w:t>
      </w:r>
      <w:r w:rsidR="005921C5" w:rsidRPr="00B85C35">
        <w:rPr>
          <w:rFonts w:ascii="Arial" w:hAnsi="Arial" w:cs="Arial"/>
          <w:color w:val="000000"/>
          <w:szCs w:val="24"/>
          <w:shd w:val="clear" w:color="auto" w:fill="FFFFFF"/>
        </w:rPr>
        <w:t>三權於一身，還身兼</w:t>
      </w:r>
      <w:r w:rsidR="005921C5" w:rsidRPr="005921C5">
        <w:rPr>
          <w:rFonts w:ascii="Arial" w:hAnsi="Arial" w:cs="Arial"/>
          <w:szCs w:val="24"/>
          <w:shd w:val="clear" w:color="auto" w:fill="FFFFFF"/>
        </w:rPr>
        <w:t>軍事</w:t>
      </w:r>
      <w:r w:rsidR="005921C5" w:rsidRPr="00B85C35">
        <w:rPr>
          <w:rFonts w:ascii="Arial" w:hAnsi="Arial" w:cs="Arial"/>
          <w:color w:val="000000"/>
          <w:szCs w:val="24"/>
          <w:shd w:val="clear" w:color="auto" w:fill="FFFFFF"/>
        </w:rPr>
        <w:t>大權，</w:t>
      </w:r>
      <w:r w:rsidR="006B6700">
        <w:rPr>
          <w:rFonts w:ascii="Arial" w:hAnsi="Arial" w:cs="Arial" w:hint="eastAsia"/>
          <w:color w:val="000000"/>
          <w:szCs w:val="24"/>
          <w:shd w:val="clear" w:color="auto" w:fill="FFFFFF"/>
        </w:rPr>
        <w:t>權力與以前的日本總督有過之而無不及，</w:t>
      </w:r>
      <w:r w:rsidR="006B6700" w:rsidRPr="00B85C35">
        <w:rPr>
          <w:rFonts w:ascii="Arial" w:hAnsi="Arial" w:cs="Arial"/>
          <w:color w:val="000000"/>
          <w:szCs w:val="24"/>
          <w:shd w:val="clear" w:color="auto" w:fill="FFFFFF"/>
        </w:rPr>
        <w:t>管轄台灣的國民政府官員也有嚴重的</w:t>
      </w:r>
      <w:r w:rsidR="006B6700" w:rsidRPr="006B6700">
        <w:rPr>
          <w:rFonts w:ascii="Arial" w:hAnsi="Arial" w:cs="Arial"/>
          <w:szCs w:val="24"/>
          <w:shd w:val="clear" w:color="auto" w:fill="FFFFFF"/>
        </w:rPr>
        <w:t>官僚</w:t>
      </w:r>
      <w:r w:rsidR="006B6700" w:rsidRPr="00B85C35">
        <w:rPr>
          <w:rFonts w:ascii="Arial" w:hAnsi="Arial" w:cs="Arial"/>
          <w:color w:val="000000"/>
          <w:szCs w:val="24"/>
          <w:shd w:val="clear" w:color="auto" w:fill="FFFFFF"/>
        </w:rPr>
        <w:t>作風與貪污問題，</w:t>
      </w:r>
      <w:r w:rsidR="006B6700">
        <w:rPr>
          <w:rFonts w:ascii="Arial" w:hAnsi="Arial" w:cs="Arial" w:hint="eastAsia"/>
          <w:color w:val="000000"/>
          <w:szCs w:val="24"/>
          <w:shd w:val="clear" w:color="auto" w:fill="FFFFFF"/>
        </w:rPr>
        <w:t>管轄的國民政府軍隊也軍紀敗壞。</w:t>
      </w:r>
      <w:r w:rsidR="006B6700" w:rsidRPr="00B85C35">
        <w:rPr>
          <w:rFonts w:ascii="Arial" w:hAnsi="Arial" w:cs="Arial"/>
          <w:color w:val="000000"/>
          <w:szCs w:val="24"/>
          <w:shd w:val="clear" w:color="auto" w:fill="FFFFFF"/>
        </w:rPr>
        <w:t>當時大多數的台灣人</w:t>
      </w:r>
      <w:r w:rsidR="006B6700">
        <w:rPr>
          <w:rFonts w:ascii="Arial" w:hAnsi="Arial" w:cs="Arial" w:hint="eastAsia"/>
          <w:color w:val="000000"/>
          <w:szCs w:val="24"/>
          <w:shd w:val="clear" w:color="auto" w:fill="FFFFFF"/>
        </w:rPr>
        <w:t>也</w:t>
      </w:r>
      <w:r w:rsidR="006B6700" w:rsidRPr="00B85C35">
        <w:rPr>
          <w:rFonts w:ascii="Arial" w:hAnsi="Arial" w:cs="Arial"/>
          <w:color w:val="000000"/>
          <w:szCs w:val="24"/>
          <w:shd w:val="clear" w:color="auto" w:fill="FFFFFF"/>
        </w:rPr>
        <w:t>不懂中國的</w:t>
      </w:r>
      <w:r w:rsidR="006B6700" w:rsidRPr="006B6700">
        <w:rPr>
          <w:rFonts w:ascii="Arial" w:hAnsi="Arial" w:cs="Arial"/>
          <w:szCs w:val="24"/>
          <w:shd w:val="clear" w:color="auto" w:fill="FFFFFF"/>
        </w:rPr>
        <w:t>國語</w:t>
      </w:r>
      <w:r w:rsidR="006B6700">
        <w:rPr>
          <w:rFonts w:ascii="Arial" w:hAnsi="Arial" w:cs="Arial" w:hint="eastAsia"/>
          <w:szCs w:val="24"/>
          <w:shd w:val="clear" w:color="auto" w:fill="FFFFFF"/>
        </w:rPr>
        <w:t>，這也可以說明外公他的閩南語跟客家話都很流利，但國語講得很</w:t>
      </w:r>
      <w:proofErr w:type="gramStart"/>
      <w:r w:rsidR="006B6700">
        <w:rPr>
          <w:rFonts w:ascii="Arial" w:hAnsi="Arial" w:cs="Arial" w:hint="eastAsia"/>
          <w:szCs w:val="24"/>
          <w:shd w:val="clear" w:color="auto" w:fill="FFFFFF"/>
        </w:rPr>
        <w:t>不</w:t>
      </w:r>
      <w:proofErr w:type="gramEnd"/>
      <w:r w:rsidR="006B6700">
        <w:rPr>
          <w:rFonts w:ascii="Arial" w:hAnsi="Arial" w:cs="Arial" w:hint="eastAsia"/>
          <w:szCs w:val="24"/>
          <w:shd w:val="clear" w:color="auto" w:fill="FFFFFF"/>
        </w:rPr>
        <w:t>標準，而且還帶有外省腔調的原因，溝通上的不良加上當時外省人對台灣人的不正當的誤解</w:t>
      </w:r>
      <w:r w:rsidR="006B6700" w:rsidRPr="00B85C35">
        <w:rPr>
          <w:rFonts w:ascii="Arial" w:hAnsi="Arial" w:cs="Arial"/>
          <w:color w:val="000000"/>
          <w:szCs w:val="24"/>
          <w:shd w:val="clear" w:color="auto" w:fill="FFFFFF"/>
        </w:rPr>
        <w:t>與歧視</w:t>
      </w:r>
      <w:r w:rsidR="006B6700">
        <w:rPr>
          <w:rFonts w:ascii="Arial" w:hAnsi="Arial" w:cs="Arial" w:hint="eastAsia"/>
          <w:color w:val="000000"/>
          <w:szCs w:val="24"/>
          <w:shd w:val="clear" w:color="auto" w:fill="FFFFFF"/>
        </w:rPr>
        <w:t>，造成當時的台灣人在許多方面都遭受到</w:t>
      </w:r>
      <w:r w:rsidR="006B6700" w:rsidRPr="00B85C35">
        <w:rPr>
          <w:rFonts w:ascii="Arial" w:hAnsi="Arial" w:cs="Arial"/>
          <w:color w:val="000000"/>
          <w:szCs w:val="24"/>
          <w:shd w:val="clear" w:color="auto" w:fill="FFFFFF"/>
        </w:rPr>
        <w:t>刻意的</w:t>
      </w:r>
      <w:r w:rsidR="006B6700">
        <w:rPr>
          <w:rFonts w:ascii="Arial" w:hAnsi="Arial" w:cs="Arial" w:hint="eastAsia"/>
          <w:color w:val="000000"/>
          <w:szCs w:val="24"/>
          <w:shd w:val="clear" w:color="auto" w:fill="FFFFFF"/>
        </w:rPr>
        <w:t>不平等的對待，</w:t>
      </w:r>
      <w:r w:rsidR="006B6700" w:rsidRPr="00B85C35">
        <w:rPr>
          <w:rFonts w:ascii="Arial" w:hAnsi="Arial" w:cs="Arial"/>
          <w:color w:val="000000"/>
          <w:szCs w:val="24"/>
          <w:shd w:val="clear" w:color="auto" w:fill="FFFFFF"/>
        </w:rPr>
        <w:t>此種差別待遇不僅造成台灣人民處處吃虧、加深雙方的隔閡，也使得台灣人民十分</w:t>
      </w:r>
      <w:proofErr w:type="gramStart"/>
      <w:r w:rsidR="006B6700" w:rsidRPr="00B85C35">
        <w:rPr>
          <w:rFonts w:ascii="Arial" w:hAnsi="Arial" w:cs="Arial"/>
          <w:color w:val="000000"/>
          <w:szCs w:val="24"/>
          <w:shd w:val="clear" w:color="auto" w:fill="FFFFFF"/>
        </w:rPr>
        <w:t>不滿</w:t>
      </w:r>
      <w:r w:rsidR="006B6700">
        <w:rPr>
          <w:rFonts w:ascii="Arial" w:hAnsi="Arial" w:cs="Arial" w:hint="eastAsia"/>
          <w:color w:val="000000"/>
          <w:szCs w:val="24"/>
          <w:shd w:val="clear" w:color="auto" w:fill="FFFFFF"/>
        </w:rPr>
        <w:t>，</w:t>
      </w:r>
      <w:proofErr w:type="gramEnd"/>
      <w:r w:rsidR="006B6700">
        <w:rPr>
          <w:rFonts w:ascii="Arial" w:hAnsi="Arial" w:cs="Arial" w:hint="eastAsia"/>
          <w:color w:val="000000"/>
          <w:szCs w:val="24"/>
          <w:shd w:val="clear" w:color="auto" w:fill="FFFFFF"/>
        </w:rPr>
        <w:t>也讓反對國民黨政權的人數越來越多</w:t>
      </w:r>
      <w:r w:rsidR="002C1EA4">
        <w:rPr>
          <w:rFonts w:ascii="Arial" w:hAnsi="Arial" w:cs="Arial" w:hint="eastAsia"/>
          <w:color w:val="000000"/>
          <w:szCs w:val="24"/>
          <w:shd w:val="clear" w:color="auto" w:fill="FFFFFF"/>
        </w:rPr>
        <w:t>，之後發生的二二八事件正是其代表，人民們反對政府，政府對人民採取了屠殺鎮壓的方式，經過了這件事情外公對反對國民黨政府的心態也更加的根深蒂固。</w:t>
      </w:r>
    </w:p>
    <w:p w:rsidR="00CC146A" w:rsidRDefault="00CC146A" w:rsidP="00CC146A">
      <w:pPr>
        <w:widowControl/>
        <w:ind w:firstLineChars="200" w:firstLine="480"/>
        <w:rPr>
          <w:rFonts w:ascii="新細明體" w:hAnsi="新細明體" w:cs="新細明體"/>
          <w:color w:val="222222"/>
          <w:kern w:val="0"/>
          <w:szCs w:val="24"/>
        </w:rPr>
      </w:pPr>
      <w:r>
        <w:rPr>
          <w:rFonts w:ascii="新細明體" w:hAnsi="新細明體" w:cs="新細明體" w:hint="eastAsia"/>
          <w:color w:val="222222"/>
          <w:kern w:val="0"/>
          <w:szCs w:val="24"/>
        </w:rPr>
        <w:lastRenderedPageBreak/>
        <w:t>至於在教育方面，那時後日據時代的台灣人完全就是被日本人歧視，所以外公那一代的台灣人想要求學相當的不容易，外公的話也僅是小時候讀過一點點日本書，並沒有受教育，而外婆的話有受過日本教育，但學歷很低。</w:t>
      </w:r>
    </w:p>
    <w:p w:rsidR="00F679AC" w:rsidRDefault="00F679AC" w:rsidP="00F679AC">
      <w:pPr>
        <w:widowControl/>
        <w:ind w:firstLineChars="200" w:firstLine="480"/>
        <w:rPr>
          <w:rFonts w:ascii="新細明體" w:hAnsi="新細明體" w:cs="新細明體"/>
          <w:color w:val="222222"/>
          <w:kern w:val="0"/>
          <w:szCs w:val="24"/>
        </w:rPr>
      </w:pPr>
      <w:r>
        <w:rPr>
          <w:rFonts w:ascii="新細明體" w:hAnsi="新細明體" w:cs="新細明體" w:hint="eastAsia"/>
          <w:color w:val="222222"/>
          <w:kern w:val="0"/>
          <w:szCs w:val="24"/>
        </w:rPr>
        <w:t>外公在壯年時代忙碌於務農賺錢養家，外婆則是忙於家事，所以都比較沒有時間去照顧子女，對子女的教育方式主要是</w:t>
      </w:r>
      <w:proofErr w:type="gramStart"/>
      <w:r>
        <w:rPr>
          <w:rFonts w:ascii="新細明體" w:hAnsi="新細明體" w:cs="新細明體" w:hint="eastAsia"/>
          <w:color w:val="222222"/>
          <w:kern w:val="0"/>
          <w:szCs w:val="24"/>
        </w:rPr>
        <w:t>採</w:t>
      </w:r>
      <w:proofErr w:type="gramEnd"/>
      <w:r>
        <w:rPr>
          <w:rFonts w:ascii="新細明體" w:hAnsi="新細明體" w:cs="新細明體" w:hint="eastAsia"/>
          <w:color w:val="222222"/>
          <w:kern w:val="0"/>
          <w:szCs w:val="24"/>
        </w:rPr>
        <w:t>放任式，所以外公的子女小時候是比較自由不太受拘束，外公對待每一個子女都很公平，並不會</w:t>
      </w:r>
      <w:proofErr w:type="gramStart"/>
      <w:r>
        <w:rPr>
          <w:rFonts w:ascii="新細明體" w:hAnsi="新細明體" w:cs="新細明體" w:hint="eastAsia"/>
          <w:color w:val="222222"/>
          <w:kern w:val="0"/>
          <w:szCs w:val="24"/>
        </w:rPr>
        <w:t>去說會去</w:t>
      </w:r>
      <w:proofErr w:type="gramEnd"/>
      <w:r>
        <w:rPr>
          <w:rFonts w:ascii="新細明體" w:hAnsi="新細明體" w:cs="新細明體" w:hint="eastAsia"/>
          <w:color w:val="222222"/>
          <w:kern w:val="0"/>
          <w:szCs w:val="24"/>
        </w:rPr>
        <w:t>特別照顧哪些子女。</w:t>
      </w:r>
    </w:p>
    <w:p w:rsidR="00A21806" w:rsidRDefault="00A718B1" w:rsidP="00A21806">
      <w:pPr>
        <w:ind w:firstLineChars="200" w:firstLine="48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123825</wp:posOffset>
            </wp:positionV>
            <wp:extent cx="3512185" cy="1981200"/>
            <wp:effectExtent l="19050" t="0" r="0" b="0"/>
            <wp:wrapTight wrapText="bothSides">
              <wp:wrapPolygon edited="0">
                <wp:start x="-117" y="0"/>
                <wp:lineTo x="-117" y="21392"/>
                <wp:lineTo x="21557" y="21392"/>
                <wp:lineTo x="21557" y="0"/>
                <wp:lineTo x="-117" y="0"/>
              </wp:wrapPolygon>
            </wp:wrapTight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期中訪談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9AC">
        <w:rPr>
          <w:rFonts w:hint="eastAsia"/>
        </w:rPr>
        <w:t>外公</w:t>
      </w:r>
      <w:r w:rsidR="00A21806">
        <w:rPr>
          <w:rFonts w:hint="eastAsia"/>
        </w:rPr>
        <w:t>性格方面</w:t>
      </w:r>
      <w:r w:rsidR="00F679AC">
        <w:rPr>
          <w:rFonts w:hint="eastAsia"/>
        </w:rPr>
        <w:t>較外向樂觀，也較進取，他喜歡四處遊玩，拜訪街坊鄰居，也會常常帶鄰居們出去外面進香，對街坊鄰居相當地照顧，</w:t>
      </w:r>
      <w:r w:rsidR="00A21806">
        <w:rPr>
          <w:rFonts w:hint="eastAsia"/>
        </w:rPr>
        <w:t>雖然大部份的街坊鄰居都是屬於外省人，但外公不會因為他們是外省人而有不同的對待方式，外公支持黨外人士得做法主要是偏向心理支持的方式，這也可以見到他寬容大方的一面，而且</w:t>
      </w:r>
      <w:r w:rsidR="00A21806">
        <w:rPr>
          <w:rFonts w:ascii="Arial" w:hAnsi="Arial" w:cs="Arial" w:hint="eastAsia"/>
          <w:color w:val="000000"/>
          <w:szCs w:val="24"/>
          <w:shd w:val="clear" w:color="auto" w:fill="FFFFFF"/>
        </w:rPr>
        <w:t>每當有黨外活動發生時，外公也會幫忙鼓吹，從這邊其實可以見到，所謂的本省人外省人其實只是在於心理層面，再一起認識久了、生活久了，也就慢慢地習慣了，</w:t>
      </w:r>
      <w:r w:rsidR="0008305C">
        <w:rPr>
          <w:rFonts w:ascii="Arial" w:hAnsi="Arial" w:cs="Arial" w:hint="eastAsia"/>
          <w:color w:val="000000"/>
          <w:szCs w:val="24"/>
          <w:shd w:val="clear" w:color="auto" w:fill="FFFFFF"/>
        </w:rPr>
        <w:t>久而久之大家都會認為自己是台灣人。</w:t>
      </w:r>
    </w:p>
    <w:p w:rsidR="00F679AC" w:rsidRDefault="0008305C" w:rsidP="0008305C">
      <w:pPr>
        <w:widowControl/>
        <w:ind w:firstLineChars="200" w:firstLine="480"/>
      </w:pPr>
      <w:r>
        <w:rPr>
          <w:rFonts w:hint="eastAsia"/>
        </w:rPr>
        <w:t>外公</w:t>
      </w:r>
      <w:r w:rsidR="00F679AC">
        <w:rPr>
          <w:rFonts w:hint="eastAsia"/>
        </w:rPr>
        <w:t>的進取心態也有影響到他的子女，他也常常跟</w:t>
      </w:r>
      <w:proofErr w:type="gramStart"/>
      <w:r w:rsidR="00F679AC">
        <w:rPr>
          <w:rFonts w:hint="eastAsia"/>
        </w:rPr>
        <w:t>子女說要用功</w:t>
      </w:r>
      <w:proofErr w:type="gramEnd"/>
      <w:r w:rsidR="00F679AC">
        <w:rPr>
          <w:rFonts w:hint="eastAsia"/>
        </w:rPr>
        <w:t>讀書、進取，還有要多學學一些做人的道理，</w:t>
      </w:r>
      <w:r>
        <w:rPr>
          <w:rFonts w:hint="eastAsia"/>
        </w:rPr>
        <w:t>外公</w:t>
      </w:r>
      <w:r w:rsidR="00F679AC">
        <w:rPr>
          <w:rFonts w:hint="eastAsia"/>
        </w:rPr>
        <w:t>外向樂觀的性格也使整個家庭都和樂融融，尤其是年節聚會的時候更加能夠的性格也是，使整個家庭都和樂融融，尤其是年節聚會的時候更加能夠感受到，所以外公的人生觀影響了子女如何去善待別人，他的性格也造就了他的價值，</w:t>
      </w:r>
      <w:bookmarkStart w:id="0" w:name="_GoBack"/>
      <w:bookmarkEnd w:id="0"/>
      <w:r w:rsidR="00F679AC">
        <w:rPr>
          <w:rFonts w:hint="eastAsia"/>
        </w:rPr>
        <w:t>讓每</w:t>
      </w:r>
      <w:proofErr w:type="gramStart"/>
      <w:r w:rsidR="00F679AC">
        <w:rPr>
          <w:rFonts w:hint="eastAsia"/>
        </w:rPr>
        <w:t>個</w:t>
      </w:r>
      <w:proofErr w:type="gramEnd"/>
      <w:r w:rsidR="00F679AC">
        <w:rPr>
          <w:rFonts w:hint="eastAsia"/>
        </w:rPr>
        <w:t>阿姨們到現在都已經是當阿</w:t>
      </w:r>
      <w:proofErr w:type="gramStart"/>
      <w:r w:rsidR="00F679AC">
        <w:rPr>
          <w:rFonts w:hint="eastAsia"/>
        </w:rPr>
        <w:t>嬤</w:t>
      </w:r>
      <w:proofErr w:type="gramEnd"/>
      <w:r w:rsidR="00F679AC">
        <w:rPr>
          <w:rFonts w:hint="eastAsia"/>
        </w:rPr>
        <w:t>的年紀了，感情還能像家人一樣，並不會因為時間的影響而疏離，這個價值也將一代傳一代，永遠不會熄滅。</w:t>
      </w:r>
    </w:p>
    <w:p w:rsidR="00905BFC" w:rsidRPr="00F679AC" w:rsidRDefault="00905BFC" w:rsidP="00CC146A">
      <w:pPr>
        <w:ind w:firstLineChars="200" w:firstLine="480"/>
        <w:rPr>
          <w:rFonts w:ascii="新細明體" w:hAnsi="新細明體"/>
        </w:rPr>
      </w:pPr>
    </w:p>
    <w:sectPr w:rsidR="00905BFC" w:rsidRPr="00F679AC" w:rsidSect="00A718B1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9E" w:rsidRDefault="002F4F9E" w:rsidP="00905BFC">
      <w:r>
        <w:separator/>
      </w:r>
    </w:p>
  </w:endnote>
  <w:endnote w:type="continuationSeparator" w:id="0">
    <w:p w:rsidR="002F4F9E" w:rsidRDefault="002F4F9E" w:rsidP="0090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744167"/>
      <w:docPartObj>
        <w:docPartGallery w:val="Page Numbers (Bottom of Page)"/>
        <w:docPartUnique/>
      </w:docPartObj>
    </w:sdtPr>
    <w:sdtContent>
      <w:p w:rsidR="00905BFC" w:rsidRDefault="002C5E72">
        <w:pPr>
          <w:pStyle w:val="a5"/>
          <w:jc w:val="center"/>
        </w:pPr>
        <w:r>
          <w:fldChar w:fldCharType="begin"/>
        </w:r>
        <w:r w:rsidR="00905BFC">
          <w:instrText>PAGE   \* MERGEFORMAT</w:instrText>
        </w:r>
        <w:r>
          <w:fldChar w:fldCharType="separate"/>
        </w:r>
        <w:r w:rsidR="00A718B1" w:rsidRPr="00A718B1">
          <w:rPr>
            <w:noProof/>
            <w:lang w:val="zh-TW"/>
          </w:rPr>
          <w:t>1</w:t>
        </w:r>
        <w:r>
          <w:fldChar w:fldCharType="end"/>
        </w:r>
      </w:p>
    </w:sdtContent>
  </w:sdt>
  <w:p w:rsidR="00905BFC" w:rsidRDefault="00905B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9E" w:rsidRDefault="002F4F9E" w:rsidP="00905BFC">
      <w:r>
        <w:separator/>
      </w:r>
    </w:p>
  </w:footnote>
  <w:footnote w:type="continuationSeparator" w:id="0">
    <w:p w:rsidR="002F4F9E" w:rsidRDefault="002F4F9E" w:rsidP="00905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576"/>
    <w:rsid w:val="0008305C"/>
    <w:rsid w:val="0027434B"/>
    <w:rsid w:val="002C1EA4"/>
    <w:rsid w:val="002C5E72"/>
    <w:rsid w:val="002F4F9E"/>
    <w:rsid w:val="00492445"/>
    <w:rsid w:val="005921C5"/>
    <w:rsid w:val="006B6700"/>
    <w:rsid w:val="00905BFC"/>
    <w:rsid w:val="00986C44"/>
    <w:rsid w:val="00A21806"/>
    <w:rsid w:val="00A718B1"/>
    <w:rsid w:val="00C37ADC"/>
    <w:rsid w:val="00CC146A"/>
    <w:rsid w:val="00CE0576"/>
    <w:rsid w:val="00D6517A"/>
    <w:rsid w:val="00E93C2B"/>
    <w:rsid w:val="00EE4890"/>
    <w:rsid w:val="00F6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5B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5BF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924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mailheaderatta1">
    <w:name w:val="mailheaderatta1"/>
    <w:basedOn w:val="a0"/>
    <w:rsid w:val="00A718B1"/>
    <w:rPr>
      <w:rFonts w:ascii="Times New Roman" w:hAnsi="Times New Roman" w:cs="Times New Roman" w:hint="default"/>
      <w:color w:val="0076A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5B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5BF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924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Huang</dc:creator>
  <cp:lastModifiedBy>uch20135</cp:lastModifiedBy>
  <cp:revision>2</cp:revision>
  <dcterms:created xsi:type="dcterms:W3CDTF">2014-05-07T07:20:00Z</dcterms:created>
  <dcterms:modified xsi:type="dcterms:W3CDTF">2014-05-07T07:20:00Z</dcterms:modified>
</cp:coreProperties>
</file>